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E6" w:rsidRPr="00592ADE" w:rsidRDefault="005072E6" w:rsidP="005072E6">
      <w:pPr>
        <w:rPr>
          <w:rFonts w:ascii="Times New Roman" w:hAnsi="Times New Roman"/>
          <w:sz w:val="22"/>
          <w:u w:val="single"/>
        </w:rPr>
      </w:pPr>
      <w:r w:rsidRPr="00592ADE">
        <w:rPr>
          <w:rFonts w:ascii="Times New Roman" w:hAnsi="Times New Roman"/>
          <w:sz w:val="22"/>
          <w:u w:val="single"/>
        </w:rPr>
        <w:t>Urban Politics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C. Andrew, “Municipal Restructuring, Urban Services and the Potential for the Creation of Transformative Political Spaces,” in W. Clement and L.F. Vosko, eds., </w:t>
      </w:r>
      <w:r>
        <w:rPr>
          <w:rFonts w:ascii="Times New Roman" w:hAnsi="Times New Roman"/>
          <w:i/>
          <w:sz w:val="22"/>
        </w:rPr>
        <w:t xml:space="preserve">Changing Canada: Political Economy as Transformation </w:t>
      </w:r>
      <w:r>
        <w:rPr>
          <w:rFonts w:ascii="Times New Roman" w:hAnsi="Times New Roman"/>
          <w:sz w:val="22"/>
        </w:rPr>
        <w:t>(MQUP, 2003)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S. Bashevkin, “Talk, Money and Institutional Design: Comparing Urban Policy Prospects in Toronto versus London,” </w:t>
      </w:r>
      <w:r>
        <w:rPr>
          <w:rFonts w:ascii="Times New Roman" w:hAnsi="Times New Roman"/>
          <w:i/>
          <w:sz w:val="22"/>
        </w:rPr>
        <w:t>Canadian Journal of Urban Research</w:t>
      </w:r>
      <w:r>
        <w:rPr>
          <w:rFonts w:ascii="Times New Roman" w:hAnsi="Times New Roman"/>
          <w:sz w:val="22"/>
        </w:rPr>
        <w:t xml:space="preserve"> 13:2 (2004)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C. Andrew and M. Goldsmith, “From Local Government to Local Governance – and Beyond,” </w:t>
      </w:r>
      <w:r>
        <w:rPr>
          <w:rFonts w:ascii="Times New Roman" w:hAnsi="Times New Roman"/>
          <w:i/>
          <w:sz w:val="22"/>
        </w:rPr>
        <w:t>International Political Science Review</w:t>
      </w:r>
      <w:r>
        <w:rPr>
          <w:rFonts w:ascii="Times New Roman" w:hAnsi="Times New Roman"/>
          <w:sz w:val="22"/>
        </w:rPr>
        <w:t xml:space="preserve"> 19 (1998)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S. Bashevkin, </w:t>
      </w:r>
      <w:r>
        <w:rPr>
          <w:rFonts w:ascii="Times New Roman" w:hAnsi="Times New Roman"/>
          <w:i/>
          <w:sz w:val="22"/>
        </w:rPr>
        <w:t>Tales of Two Cities: Women and Municipal Restructuring in London and Toronto</w:t>
      </w:r>
      <w:r>
        <w:rPr>
          <w:rFonts w:ascii="Times New Roman" w:hAnsi="Times New Roman"/>
          <w:sz w:val="22"/>
        </w:rPr>
        <w:t xml:space="preserve"> (Vancouver UBC Press, 2007)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R. Gibbins, “The Missing Link: Policy Options for Engaging Ottawa in Canada’s Urban Centres,” in J.P. Meekison, H. Telford, and H. Lazar, eds., </w:t>
      </w:r>
      <w:r>
        <w:rPr>
          <w:rFonts w:ascii="Times New Roman" w:hAnsi="Times New Roman"/>
          <w:i/>
          <w:sz w:val="22"/>
        </w:rPr>
        <w:t xml:space="preserve">Reconsidering the Institutions of Canadian Federalism </w:t>
      </w:r>
      <w:r>
        <w:rPr>
          <w:rFonts w:ascii="Times New Roman" w:hAnsi="Times New Roman"/>
          <w:sz w:val="22"/>
        </w:rPr>
        <w:t>(Kingston IIR, 2002)***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W. Magnusson, “Are Municipalities Creatures of the Provinces” </w:t>
      </w:r>
      <w:r>
        <w:rPr>
          <w:rFonts w:ascii="Times New Roman" w:hAnsi="Times New Roman"/>
          <w:i/>
          <w:sz w:val="22"/>
        </w:rPr>
        <w:t>Journal of Canadian Studies</w:t>
      </w:r>
      <w:r>
        <w:rPr>
          <w:rFonts w:ascii="Times New Roman" w:hAnsi="Times New Roman"/>
          <w:sz w:val="22"/>
        </w:rPr>
        <w:t xml:space="preserve"> 39:2 (Spring 2005)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W. Magnusson, “The City as the Hope of Democracy,” in C. Andrew, K. Graham, and S.D. Philips, eds., </w:t>
      </w:r>
      <w:r>
        <w:rPr>
          <w:rFonts w:ascii="Times New Roman" w:hAnsi="Times New Roman"/>
          <w:i/>
          <w:sz w:val="22"/>
        </w:rPr>
        <w:t xml:space="preserve">Urban Affairs: Back on the Policy Agenda </w:t>
      </w:r>
      <w:r>
        <w:rPr>
          <w:rFonts w:ascii="Times New Roman" w:hAnsi="Times New Roman"/>
          <w:sz w:val="22"/>
        </w:rPr>
        <w:t>(MQUP, 2002)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W. Magnusson, </w:t>
      </w:r>
      <w:r>
        <w:rPr>
          <w:rFonts w:ascii="Times New Roman" w:hAnsi="Times New Roman"/>
          <w:i/>
          <w:sz w:val="22"/>
        </w:rPr>
        <w:t>The Search for Political Space</w:t>
      </w:r>
      <w:r>
        <w:rPr>
          <w:rFonts w:ascii="Times New Roman" w:hAnsi="Times New Roman"/>
          <w:sz w:val="22"/>
        </w:rPr>
        <w:t xml:space="preserve"> (Toronto UTP, 1996) Ch. 5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S. Philips and K. Graham, “Who does what in Ontario? Disentangling Provincial-Municipal Relations,” </w:t>
      </w:r>
      <w:r>
        <w:rPr>
          <w:rFonts w:ascii="Times New Roman" w:hAnsi="Times New Roman"/>
          <w:i/>
          <w:sz w:val="22"/>
        </w:rPr>
        <w:t>CPA</w:t>
      </w:r>
      <w:r>
        <w:rPr>
          <w:rFonts w:ascii="Times New Roman" w:hAnsi="Times New Roman"/>
          <w:sz w:val="22"/>
        </w:rPr>
        <w:t xml:space="preserve"> 41:2 (Summer 1998)</w:t>
      </w:r>
    </w:p>
    <w:p w:rsidR="005072E6" w:rsidRPr="002407D1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A. Sancton, “Municipalities, Cities, and Globalization: Implications for Canadian Federalism” </w:t>
      </w:r>
      <w:r w:rsidRPr="002407D1">
        <w:rPr>
          <w:rFonts w:ascii="Times New Roman" w:hAnsi="Times New Roman"/>
          <w:sz w:val="22"/>
        </w:rPr>
        <w:t xml:space="preserve">in H. Bakvis and G. Skogstad, </w:t>
      </w:r>
      <w:r w:rsidRPr="002407D1">
        <w:rPr>
          <w:rFonts w:ascii="Times New Roman" w:hAnsi="Times New Roman"/>
          <w:i/>
          <w:sz w:val="22"/>
        </w:rPr>
        <w:t xml:space="preserve">Canadian Federalism: Performance, Effectiveness, and Legitimacy </w:t>
      </w:r>
      <w:r w:rsidRPr="002407D1">
        <w:rPr>
          <w:rFonts w:ascii="Times New Roman" w:hAnsi="Times New Roman"/>
          <w:sz w:val="22"/>
        </w:rPr>
        <w:t>(Toronto OUP 2002)***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660066"/>
          <w:sz w:val="22"/>
        </w:rPr>
      </w:pPr>
      <w:r w:rsidRPr="00A24B35">
        <w:rPr>
          <w:rFonts w:ascii="Times New Roman" w:hAnsi="Times New Roman"/>
          <w:color w:val="660066"/>
          <w:sz w:val="22"/>
        </w:rPr>
        <w:t xml:space="preserve">N. Bradford, </w:t>
      </w:r>
      <w:r w:rsidRPr="00A24B35">
        <w:rPr>
          <w:rFonts w:ascii="Times New Roman" w:hAnsi="Times New Roman"/>
          <w:i/>
          <w:color w:val="660066"/>
          <w:sz w:val="22"/>
        </w:rPr>
        <w:t>Why Cities Matter</w:t>
      </w:r>
      <w:r w:rsidRPr="00A24B35">
        <w:rPr>
          <w:rFonts w:ascii="Times New Roman" w:hAnsi="Times New Roman"/>
          <w:color w:val="660066"/>
          <w:sz w:val="22"/>
        </w:rPr>
        <w:t xml:space="preserve"> (Ottawa CPRN, 2000)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Z. Taylor and G. Eidelman, “Canadian Urban Politics: Another ‘Black Hole’?” </w:t>
      </w:r>
      <w:r>
        <w:rPr>
          <w:rFonts w:ascii="Times New Roman" w:hAnsi="Times New Roman"/>
          <w:i/>
          <w:color w:val="000090"/>
          <w:sz w:val="22"/>
        </w:rPr>
        <w:t>Journal of Urban Affairs</w:t>
      </w:r>
      <w:r>
        <w:rPr>
          <w:rFonts w:ascii="Times New Roman" w:hAnsi="Times New Roman"/>
          <w:color w:val="000090"/>
          <w:sz w:val="22"/>
        </w:rPr>
        <w:t xml:space="preserve"> 32:3 (June 2010)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Z. Taylor and G. Eidelman, “Canadian Political Science and the City: A Limited Engagement,” </w:t>
      </w:r>
      <w:r>
        <w:rPr>
          <w:rFonts w:ascii="Times New Roman" w:hAnsi="Times New Roman"/>
          <w:i/>
          <w:color w:val="000090"/>
          <w:sz w:val="22"/>
        </w:rPr>
        <w:t>CJPS</w:t>
      </w:r>
      <w:r>
        <w:rPr>
          <w:rFonts w:ascii="Times New Roman" w:hAnsi="Times New Roman"/>
          <w:color w:val="000090"/>
          <w:sz w:val="22"/>
        </w:rPr>
        <w:t xml:space="preserve"> 43:4 (December 2010)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R. Young, “Conclusion,” in A. Sancton and R. Young, eds., </w:t>
      </w:r>
      <w:r>
        <w:rPr>
          <w:rFonts w:ascii="Times New Roman" w:hAnsi="Times New Roman"/>
          <w:i/>
          <w:color w:val="000090"/>
          <w:sz w:val="22"/>
        </w:rPr>
        <w:t xml:space="preserve">Foundations of Governance: Municipal Government in Canada’s Provinces </w:t>
      </w:r>
      <w:r>
        <w:rPr>
          <w:rFonts w:ascii="Times New Roman" w:hAnsi="Times New Roman"/>
          <w:color w:val="000090"/>
          <w:sz w:val="22"/>
        </w:rPr>
        <w:t>(Toronto UTP and IPAC, 2009)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K. Good, </w:t>
      </w:r>
      <w:r>
        <w:rPr>
          <w:rFonts w:ascii="Times New Roman" w:hAnsi="Times New Roman"/>
          <w:i/>
          <w:color w:val="000090"/>
          <w:sz w:val="22"/>
        </w:rPr>
        <w:t>Municipalities and Multiculturalism: The Politics of Immigration in Toronto and Vancouver</w:t>
      </w:r>
      <w:r>
        <w:rPr>
          <w:rFonts w:ascii="Times New Roman" w:hAnsi="Times New Roman"/>
          <w:color w:val="000090"/>
          <w:sz w:val="22"/>
        </w:rPr>
        <w:t xml:space="preserve"> (Toronto UTP, 2008) chs. 1-2, 8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A. Walks, “The City-Suburban Cleavage in Canadian Federal Politics,” </w:t>
      </w:r>
      <w:r>
        <w:rPr>
          <w:rFonts w:ascii="Times New Roman" w:hAnsi="Times New Roman"/>
          <w:i/>
          <w:color w:val="000090"/>
          <w:sz w:val="22"/>
        </w:rPr>
        <w:t>CJPS</w:t>
      </w:r>
      <w:r>
        <w:rPr>
          <w:rFonts w:ascii="Times New Roman" w:hAnsi="Times New Roman"/>
          <w:color w:val="000090"/>
          <w:sz w:val="22"/>
        </w:rPr>
        <w:t xml:space="preserve"> 38:2 (June 2005)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C. Leo, “Deep Federalism: Respecting Community Difference in National Policy,” </w:t>
      </w:r>
      <w:r>
        <w:rPr>
          <w:rFonts w:ascii="Times New Roman" w:hAnsi="Times New Roman"/>
          <w:i/>
          <w:color w:val="000090"/>
          <w:sz w:val="22"/>
        </w:rPr>
        <w:t xml:space="preserve">CJPS </w:t>
      </w:r>
      <w:r>
        <w:rPr>
          <w:rFonts w:ascii="Times New Roman" w:hAnsi="Times New Roman"/>
          <w:color w:val="000090"/>
          <w:sz w:val="22"/>
        </w:rPr>
        <w:t>39:3 (September 2006)</w:t>
      </w:r>
      <w:r>
        <w:rPr>
          <w:rFonts w:ascii="Times New Roman" w:hAnsi="Times New Roman"/>
          <w:color w:val="000090"/>
          <w:sz w:val="22"/>
        </w:rPr>
        <w:br/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</w:p>
    <w:p w:rsidR="005072E6" w:rsidRPr="00A24B35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</w:p>
    <w:p w:rsidR="005072E6" w:rsidRDefault="005072E6" w:rsidP="005072E6">
      <w:pPr>
        <w:rPr>
          <w:rFonts w:ascii="Times New Roman" w:hAnsi="Times New Roman"/>
          <w:sz w:val="22"/>
          <w:u w:val="single"/>
        </w:rPr>
      </w:pPr>
      <w:r w:rsidRPr="00592ADE">
        <w:rPr>
          <w:rFonts w:ascii="Times New Roman" w:hAnsi="Times New Roman"/>
          <w:sz w:val="22"/>
          <w:u w:val="single"/>
        </w:rPr>
        <w:t>Citizen Engagement, Civil Society</w:t>
      </w:r>
    </w:p>
    <w:p w:rsidR="005072E6" w:rsidRPr="00592ADE" w:rsidRDefault="005072E6" w:rsidP="005072E6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Summarized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Jenson and S. Philips, “Regime Shift: New Citizenship Practices in Canada,” </w:t>
      </w:r>
      <w:r>
        <w:rPr>
          <w:rFonts w:ascii="Times New Roman" w:hAnsi="Times New Roman"/>
          <w:i/>
          <w:sz w:val="22"/>
        </w:rPr>
        <w:t xml:space="preserve">International Journal of Canadian Studies </w:t>
      </w:r>
      <w:r>
        <w:rPr>
          <w:rFonts w:ascii="Times New Roman" w:hAnsi="Times New Roman"/>
          <w:sz w:val="22"/>
        </w:rPr>
        <w:t>14 (1996)</w:t>
      </w:r>
    </w:p>
    <w:p w:rsidR="005072E6" w:rsidRPr="004A2689" w:rsidRDefault="005072E6" w:rsidP="005072E6">
      <w:pPr>
        <w:spacing w:after="120"/>
        <w:ind w:left="284"/>
        <w:rPr>
          <w:rFonts w:ascii="Times New Roman" w:eastAsia="Cambria" w:hAnsi="Times New Roman" w:cs="Times New Roman"/>
          <w:sz w:val="22"/>
        </w:rPr>
      </w:pPr>
      <w:r w:rsidRPr="004A2689">
        <w:rPr>
          <w:rFonts w:ascii="Times New Roman" w:hAnsi="Times New Roman"/>
          <w:sz w:val="22"/>
        </w:rPr>
        <w:t xml:space="preserve">J. </w:t>
      </w:r>
      <w:r w:rsidRPr="004A2689">
        <w:rPr>
          <w:rFonts w:ascii="Times New Roman" w:eastAsia="Cambria" w:hAnsi="Times New Roman" w:cs="Times New Roman"/>
          <w:sz w:val="22"/>
        </w:rPr>
        <w:t>Jenson</w:t>
      </w:r>
      <w:r w:rsidRPr="004A2689">
        <w:rPr>
          <w:rFonts w:ascii="Times New Roman" w:hAnsi="Times New Roman"/>
          <w:sz w:val="22"/>
        </w:rPr>
        <w:t xml:space="preserve"> and M.</w:t>
      </w:r>
      <w:r w:rsidRPr="004A2689">
        <w:rPr>
          <w:rFonts w:ascii="Times New Roman" w:eastAsia="Cambria" w:hAnsi="Times New Roman" w:cs="Times New Roman"/>
          <w:sz w:val="22"/>
        </w:rPr>
        <w:t xml:space="preserve"> Papillon, The Changing Boundaries of Citizenship: A Review and a Research Agenda. </w:t>
      </w:r>
      <w:r w:rsidRPr="004A2689">
        <w:rPr>
          <w:rFonts w:ascii="Times New Roman" w:hAnsi="Times New Roman"/>
          <w:sz w:val="22"/>
        </w:rPr>
        <w:t>(</w:t>
      </w:r>
      <w:r w:rsidRPr="004A2689">
        <w:rPr>
          <w:rFonts w:ascii="Times New Roman" w:eastAsia="Cambria" w:hAnsi="Times New Roman" w:cs="Times New Roman"/>
          <w:sz w:val="22"/>
        </w:rPr>
        <w:t>CPRN</w:t>
      </w:r>
      <w:r w:rsidRPr="004A2689">
        <w:rPr>
          <w:rFonts w:ascii="Times New Roman" w:hAnsi="Times New Roman"/>
          <w:sz w:val="22"/>
        </w:rPr>
        <w:t xml:space="preserve">, </w:t>
      </w:r>
      <w:r w:rsidRPr="004A2689">
        <w:rPr>
          <w:rFonts w:ascii="Times New Roman" w:eastAsia="Cambria" w:hAnsi="Times New Roman" w:cs="Times New Roman"/>
          <w:sz w:val="22"/>
        </w:rPr>
        <w:t xml:space="preserve">2001) </w:t>
      </w:r>
      <w:r w:rsidRPr="004A2689">
        <w:rPr>
          <w:rFonts w:ascii="Times New Roman" w:hAnsi="Times New Roman"/>
          <w:sz w:val="22"/>
        </w:rPr>
        <w:t>(not listed)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 w:rsidRPr="00A24B35">
        <w:rPr>
          <w:rFonts w:ascii="Times New Roman" w:hAnsi="Times New Roman"/>
          <w:color w:val="660066"/>
          <w:sz w:val="22"/>
        </w:rPr>
        <w:t xml:space="preserve">E. Gidengil, A. Blais, N. Nevitte, and R. Nadeau, </w:t>
      </w:r>
      <w:r w:rsidRPr="00A24B35">
        <w:rPr>
          <w:rFonts w:ascii="Times New Roman" w:hAnsi="Times New Roman"/>
          <w:i/>
          <w:color w:val="660066"/>
          <w:sz w:val="22"/>
        </w:rPr>
        <w:t>Citizens</w:t>
      </w:r>
      <w:r w:rsidRPr="00A24B35">
        <w:rPr>
          <w:rFonts w:ascii="Times New Roman" w:hAnsi="Times New Roman"/>
          <w:color w:val="660066"/>
          <w:sz w:val="22"/>
        </w:rPr>
        <w:t xml:space="preserve"> (Vancouve</w:t>
      </w:r>
      <w:r>
        <w:rPr>
          <w:rFonts w:ascii="Times New Roman" w:hAnsi="Times New Roman"/>
          <w:color w:val="660066"/>
          <w:sz w:val="22"/>
        </w:rPr>
        <w:t xml:space="preserve">r UBC Press, 2004) </w:t>
      </w:r>
      <w:r w:rsidRPr="00A24B35">
        <w:rPr>
          <w:rFonts w:ascii="Times New Roman" w:hAnsi="Times New Roman"/>
          <w:color w:val="000090"/>
          <w:sz w:val="22"/>
        </w:rPr>
        <w:t>[read ch 1, 7]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R. Haddow, “From Corporatism to Associationalism: Linking State and Society, and Deepening Democracy, in the Canadian Polity,” </w:t>
      </w:r>
      <w:r>
        <w:rPr>
          <w:rFonts w:ascii="Times New Roman" w:hAnsi="Times New Roman"/>
          <w:i/>
          <w:sz w:val="22"/>
        </w:rPr>
        <w:t>Journal of Canadian Studies</w:t>
      </w:r>
      <w:r>
        <w:rPr>
          <w:rFonts w:ascii="Times New Roman" w:hAnsi="Times New Roman"/>
          <w:sz w:val="22"/>
        </w:rPr>
        <w:t xml:space="preserve"> 37:1 (Spring 2002)</w:t>
      </w:r>
    </w:p>
    <w:p w:rsidR="005072E6" w:rsidRPr="004A2689" w:rsidRDefault="005072E6" w:rsidP="005072E6">
      <w:pPr>
        <w:spacing w:after="120"/>
        <w:ind w:left="284"/>
        <w:rPr>
          <w:rFonts w:ascii="Times New Roman" w:hAnsi="Times New Roman"/>
          <w:color w:val="0000FF"/>
          <w:sz w:val="22"/>
        </w:rPr>
      </w:pPr>
      <w:r>
        <w:rPr>
          <w:rFonts w:ascii="Times New Roman" w:hAnsi="Times New Roman"/>
          <w:color w:val="660066"/>
          <w:sz w:val="22"/>
        </w:rPr>
        <w:t xml:space="preserve">M. Smith, </w:t>
      </w:r>
      <w:r>
        <w:rPr>
          <w:rFonts w:ascii="Times New Roman" w:hAnsi="Times New Roman"/>
          <w:i/>
          <w:color w:val="660066"/>
          <w:sz w:val="22"/>
        </w:rPr>
        <w:t xml:space="preserve">A Civil Society? Collective Actors in Canadian Political Life, </w:t>
      </w:r>
      <w:r>
        <w:rPr>
          <w:rFonts w:ascii="Times New Roman" w:hAnsi="Times New Roman"/>
          <w:color w:val="660066"/>
          <w:sz w:val="22"/>
        </w:rPr>
        <w:t>(Toronto, 2005)</w:t>
      </w:r>
      <w:r w:rsidRPr="00A355EF">
        <w:rPr>
          <w:rFonts w:ascii="Times New Roman" w:hAnsi="Times New Roman"/>
          <w:color w:val="000090"/>
          <w:sz w:val="22"/>
        </w:rPr>
        <w:t xml:space="preserve"> </w:t>
      </w:r>
      <w:r>
        <w:rPr>
          <w:rFonts w:ascii="Times New Roman" w:hAnsi="Times New Roman"/>
          <w:color w:val="000090"/>
          <w:sz w:val="22"/>
        </w:rPr>
        <w:t>[read ch</w:t>
      </w:r>
      <w:r w:rsidRPr="00A355EF">
        <w:rPr>
          <w:rFonts w:ascii="Times New Roman" w:hAnsi="Times New Roman"/>
          <w:color w:val="000090"/>
          <w:sz w:val="22"/>
        </w:rPr>
        <w:t xml:space="preserve"> 1-3]</w:t>
      </w:r>
    </w:p>
    <w:p w:rsidR="005072E6" w:rsidRPr="004A2689" w:rsidRDefault="005072E6" w:rsidP="005072E6">
      <w:pPr>
        <w:spacing w:after="1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Not Summarized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M. Pickup et al, “Social Capital and Civic Community in Alberta,” </w:t>
      </w:r>
      <w:r>
        <w:rPr>
          <w:rFonts w:ascii="Times New Roman" w:hAnsi="Times New Roman"/>
          <w:i/>
          <w:sz w:val="22"/>
        </w:rPr>
        <w:t xml:space="preserve">CJPS </w:t>
      </w:r>
      <w:r>
        <w:rPr>
          <w:rFonts w:ascii="Times New Roman" w:hAnsi="Times New Roman"/>
          <w:sz w:val="22"/>
        </w:rPr>
        <w:t>37:3 (September 2004)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K. Graham and S. Philips, “Citizen Engagement: Beyond the Customer Revolution,” </w:t>
      </w:r>
      <w:r>
        <w:rPr>
          <w:rFonts w:ascii="Times New Roman" w:hAnsi="Times New Roman"/>
          <w:i/>
          <w:sz w:val="22"/>
        </w:rPr>
        <w:t>Canadian Public Administration</w:t>
      </w:r>
      <w:r>
        <w:rPr>
          <w:rFonts w:ascii="Times New Roman" w:hAnsi="Times New Roman"/>
          <w:sz w:val="22"/>
        </w:rPr>
        <w:t xml:space="preserve"> 40:2 (Summer 1997)</w:t>
      </w:r>
    </w:p>
    <w:p w:rsidR="005072E6" w:rsidRPr="00A1466A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Pierre, “Public Consultation and Citizen Participation: Dilemmas of Policy Advice,” in Peters, B. Guy, and D. Savoie, eds., </w:t>
      </w:r>
      <w:r>
        <w:rPr>
          <w:rFonts w:ascii="Times New Roman" w:hAnsi="Times New Roman"/>
          <w:i/>
          <w:sz w:val="22"/>
        </w:rPr>
        <w:t xml:space="preserve">Taking Stock: Assessing Public Service Reforms </w:t>
      </w:r>
      <w:r>
        <w:rPr>
          <w:rFonts w:ascii="Times New Roman" w:hAnsi="Times New Roman"/>
          <w:sz w:val="22"/>
        </w:rPr>
        <w:t>(MQUP, 1998)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D. Cameron and R. Simeon, eds., </w:t>
      </w:r>
      <w:r>
        <w:rPr>
          <w:rFonts w:ascii="Times New Roman" w:hAnsi="Times New Roman"/>
          <w:i/>
          <w:color w:val="000090"/>
          <w:sz w:val="22"/>
        </w:rPr>
        <w:t xml:space="preserve">Language Matters: How Canadian Voluntary Associations Manage French and English </w:t>
      </w:r>
      <w:r>
        <w:rPr>
          <w:rFonts w:ascii="Times New Roman" w:hAnsi="Times New Roman"/>
          <w:color w:val="000090"/>
          <w:sz w:val="22"/>
        </w:rPr>
        <w:t>(Vancouver UBC Press, 2009), ch 1 and 9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 xml:space="preserve">R. Johnston and S. Soroka, “Social Capital in a Multicultural Society: The Case of Canada,: in P. Dekker and E. M. Uslaner, eds., </w:t>
      </w:r>
      <w:r>
        <w:rPr>
          <w:rFonts w:ascii="Times New Roman" w:hAnsi="Times New Roman"/>
          <w:i/>
          <w:color w:val="000090"/>
          <w:sz w:val="22"/>
        </w:rPr>
        <w:t xml:space="preserve">Social Capital and Participation in Everyday Life </w:t>
      </w:r>
      <w:r>
        <w:rPr>
          <w:rFonts w:ascii="Times New Roman" w:hAnsi="Times New Roman"/>
          <w:color w:val="000090"/>
          <w:sz w:val="22"/>
        </w:rPr>
        <w:t>(London 2001)</w:t>
      </w:r>
    </w:p>
    <w:p w:rsidR="005072E6" w:rsidRPr="00A355EF" w:rsidRDefault="005072E6" w:rsidP="005072E6">
      <w:pPr>
        <w:spacing w:after="120"/>
        <w:ind w:left="284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>E.M. Uslaner, “Religion and Civic Engagement in Canada and the United States,”</w:t>
      </w:r>
      <w:r>
        <w:rPr>
          <w:rFonts w:ascii="Times New Roman" w:hAnsi="Times New Roman"/>
          <w:i/>
          <w:color w:val="000090"/>
          <w:sz w:val="22"/>
        </w:rPr>
        <w:t xml:space="preserve"> Journal for the Scientific Study of Religion</w:t>
      </w:r>
      <w:r>
        <w:rPr>
          <w:rFonts w:ascii="Times New Roman" w:hAnsi="Times New Roman"/>
          <w:color w:val="000090"/>
          <w:sz w:val="22"/>
        </w:rPr>
        <w:t xml:space="preserve"> 41 (June 2002)</w:t>
      </w:r>
      <w:r>
        <w:rPr>
          <w:rFonts w:ascii="Times New Roman" w:hAnsi="Times New Roman"/>
          <w:color w:val="000090"/>
          <w:sz w:val="22"/>
        </w:rPr>
        <w:br/>
      </w:r>
    </w:p>
    <w:p w:rsidR="005072E6" w:rsidRDefault="005072E6" w:rsidP="005072E6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Social Movements and Political Activism</w:t>
      </w:r>
    </w:p>
    <w:p w:rsidR="005072E6" w:rsidRDefault="005072E6" w:rsidP="005072E6">
      <w:pPr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Summarized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L. Young and J. Everitt, </w:t>
      </w:r>
      <w:r>
        <w:rPr>
          <w:rFonts w:ascii="Times New Roman" w:hAnsi="Times New Roman"/>
          <w:i/>
          <w:sz w:val="22"/>
        </w:rPr>
        <w:t>Advocacy Groups</w:t>
      </w:r>
      <w:r>
        <w:rPr>
          <w:rFonts w:ascii="Times New Roman" w:hAnsi="Times New Roman"/>
          <w:sz w:val="22"/>
        </w:rPr>
        <w:t xml:space="preserve"> (Vancouver UBC Press, 2004) (FILED under citizenship, civil society, social movements)</w:t>
      </w:r>
    </w:p>
    <w:p w:rsidR="005072E6" w:rsidRPr="004A2689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S. Philips, “Interest Groups, Social Movements, and the Voluntary Sector: En Route to Reducing the </w:t>
      </w:r>
      <w:r w:rsidRPr="004A2689">
        <w:rPr>
          <w:rFonts w:ascii="Times New Roman" w:hAnsi="Times New Roman"/>
          <w:sz w:val="22"/>
        </w:rPr>
        <w:t xml:space="preserve">Democratic Deficit,” in Bickerton and Gagnon, eds., </w:t>
      </w:r>
      <w:r w:rsidRPr="004A2689">
        <w:rPr>
          <w:rFonts w:ascii="Times New Roman" w:hAnsi="Times New Roman"/>
          <w:i/>
          <w:sz w:val="22"/>
        </w:rPr>
        <w:t xml:space="preserve">Canadian Politics </w:t>
      </w:r>
      <w:r w:rsidRPr="004A2689">
        <w:rPr>
          <w:rFonts w:ascii="Times New Roman" w:hAnsi="Times New Roman"/>
          <w:sz w:val="22"/>
        </w:rPr>
        <w:t>4</w:t>
      </w:r>
      <w:r w:rsidRPr="004A2689">
        <w:rPr>
          <w:rFonts w:ascii="Times New Roman" w:hAnsi="Times New Roman"/>
          <w:sz w:val="22"/>
          <w:vertAlign w:val="superscript"/>
        </w:rPr>
        <w:t>th</w:t>
      </w:r>
      <w:r w:rsidRPr="004A2689">
        <w:rPr>
          <w:rFonts w:ascii="Times New Roman" w:hAnsi="Times New Roman"/>
          <w:sz w:val="22"/>
        </w:rPr>
        <w:t xml:space="preserve"> Ed.*** (FILED under ^)</w:t>
      </w:r>
    </w:p>
    <w:p w:rsidR="005072E6" w:rsidRPr="004A2689" w:rsidRDefault="005072E6" w:rsidP="005072E6">
      <w:pPr>
        <w:spacing w:after="120"/>
        <w:ind w:left="284"/>
        <w:rPr>
          <w:rFonts w:ascii="Times New Roman" w:eastAsia="Cambria" w:hAnsi="Times New Roman" w:cs="Times New Roman"/>
          <w:sz w:val="22"/>
        </w:rPr>
      </w:pPr>
      <w:r w:rsidRPr="004A2689">
        <w:rPr>
          <w:rFonts w:ascii="Times New Roman" w:hAnsi="Times New Roman"/>
          <w:sz w:val="22"/>
        </w:rPr>
        <w:t>W. Carroll,</w:t>
      </w:r>
      <w:r w:rsidRPr="004A2689">
        <w:rPr>
          <w:rFonts w:ascii="Times New Roman" w:eastAsia="Cambria" w:hAnsi="Times New Roman" w:cs="Times New Roman"/>
          <w:sz w:val="22"/>
        </w:rPr>
        <w:t xml:space="preserve"> and </w:t>
      </w:r>
      <w:r w:rsidRPr="004A2689">
        <w:rPr>
          <w:rFonts w:ascii="Times New Roman" w:hAnsi="Times New Roman"/>
          <w:sz w:val="22"/>
        </w:rPr>
        <w:t>E. Coburn,</w:t>
      </w:r>
      <w:r w:rsidRPr="004A2689">
        <w:rPr>
          <w:rFonts w:ascii="Times New Roman" w:eastAsia="Cambria" w:hAnsi="Times New Roman" w:cs="Times New Roman"/>
          <w:sz w:val="22"/>
        </w:rPr>
        <w:t xml:space="preserve"> (2003) “Social Movements and Transformation” in Clement and Vosko, Changing Canada: Political Economy as Transformation</w:t>
      </w:r>
      <w:r w:rsidRPr="004A2689">
        <w:rPr>
          <w:rFonts w:ascii="Times New Roman" w:hAnsi="Times New Roman"/>
          <w:sz w:val="22"/>
        </w:rPr>
        <w:t xml:space="preserve"> (not listed, FILED under ^)</w:t>
      </w:r>
    </w:p>
    <w:p w:rsidR="005072E6" w:rsidRPr="004A2689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 w:rsidRPr="004A2689">
        <w:rPr>
          <w:rFonts w:ascii="Times New Roman" w:hAnsi="Times New Roman"/>
          <w:sz w:val="22"/>
        </w:rPr>
        <w:t xml:space="preserve">W. </w:t>
      </w:r>
      <w:r w:rsidRPr="004A2689">
        <w:rPr>
          <w:rFonts w:ascii="Times New Roman" w:eastAsia="Cambria" w:hAnsi="Times New Roman" w:cs="Times New Roman"/>
          <w:sz w:val="22"/>
        </w:rPr>
        <w:t xml:space="preserve">Stanbury, “A sceptic’s guide to the claims of so-called public interest groups” </w:t>
      </w:r>
      <w:r>
        <w:rPr>
          <w:rFonts w:ascii="Times New Roman" w:hAnsi="Times New Roman"/>
          <w:sz w:val="22"/>
        </w:rPr>
        <w:t>summarized with:</w:t>
      </w:r>
    </w:p>
    <w:p w:rsidR="005072E6" w:rsidRPr="004A2689" w:rsidRDefault="005072E6" w:rsidP="005072E6">
      <w:pPr>
        <w:spacing w:after="120"/>
        <w:ind w:left="720"/>
        <w:rPr>
          <w:rFonts w:ascii="Times New Roman" w:hAnsi="Times New Roman"/>
          <w:sz w:val="22"/>
        </w:rPr>
      </w:pPr>
      <w:r w:rsidRPr="004A2689">
        <w:rPr>
          <w:rFonts w:ascii="Times New Roman" w:hAnsi="Times New Roman"/>
          <w:sz w:val="22"/>
        </w:rPr>
        <w:t xml:space="preserve">S. Philips, “Of Public Interest Groups and Skeptics: A Realist’s Reply to Professor Stanbury,” </w:t>
      </w:r>
      <w:r w:rsidRPr="004A2689">
        <w:rPr>
          <w:rFonts w:ascii="Times New Roman" w:hAnsi="Times New Roman"/>
          <w:i/>
          <w:sz w:val="22"/>
        </w:rPr>
        <w:t>CPA</w:t>
      </w:r>
      <w:r w:rsidRPr="004A2689">
        <w:rPr>
          <w:rFonts w:ascii="Times New Roman" w:hAnsi="Times New Roman"/>
          <w:sz w:val="22"/>
        </w:rPr>
        <w:t xml:space="preserve"> 36:4 (Winter, 1993)</w:t>
      </w:r>
      <w:r>
        <w:rPr>
          <w:rFonts w:ascii="Times New Roman" w:hAnsi="Times New Roman"/>
          <w:sz w:val="22"/>
        </w:rPr>
        <w:t xml:space="preserve"> </w:t>
      </w:r>
    </w:p>
    <w:p w:rsidR="005072E6" w:rsidRPr="004A2689" w:rsidRDefault="005072E6" w:rsidP="005072E6">
      <w:pPr>
        <w:spacing w:after="1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Not Summarized 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M. James, </w:t>
      </w:r>
      <w:r>
        <w:rPr>
          <w:rFonts w:ascii="Times New Roman" w:hAnsi="Times New Roman"/>
          <w:i/>
          <w:sz w:val="22"/>
        </w:rPr>
        <w:t>Misrecognized Materialists: Social Movements in Canadian Constitutional Politics</w:t>
      </w:r>
      <w:r>
        <w:rPr>
          <w:rFonts w:ascii="Times New Roman" w:hAnsi="Times New Roman"/>
          <w:sz w:val="22"/>
        </w:rPr>
        <w:t xml:space="preserve"> (Vancouver UBC Press, 2007)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LEAF, </w:t>
      </w:r>
      <w:r>
        <w:rPr>
          <w:rFonts w:ascii="Times New Roman" w:hAnsi="Times New Roman"/>
          <w:i/>
          <w:sz w:val="22"/>
        </w:rPr>
        <w:t>Equality and the Charter: Ten Years of Feminist Advocacy Before the Supreme Court of Canada</w:t>
      </w:r>
      <w:r>
        <w:rPr>
          <w:rFonts w:ascii="Times New Roman" w:hAnsi="Times New Roman"/>
          <w:sz w:val="22"/>
        </w:rPr>
        <w:t xml:space="preserve"> (Toronto, 1996)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J. Malloy, “What Makes a State Advocacy Structure Effective? Conflicts between Bureaucratic and Social Movement Criteria,” </w:t>
      </w:r>
      <w:r>
        <w:rPr>
          <w:rFonts w:ascii="Times New Roman" w:hAnsi="Times New Roman"/>
          <w:i/>
          <w:sz w:val="22"/>
        </w:rPr>
        <w:t xml:space="preserve">Governance </w:t>
      </w:r>
      <w:r>
        <w:rPr>
          <w:rFonts w:ascii="Times New Roman" w:hAnsi="Times New Roman"/>
          <w:sz w:val="22"/>
        </w:rPr>
        <w:t>(1999)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C. Manfredi, </w:t>
      </w:r>
      <w:r>
        <w:rPr>
          <w:rFonts w:ascii="Times New Roman" w:hAnsi="Times New Roman"/>
          <w:i/>
          <w:sz w:val="22"/>
        </w:rPr>
        <w:t>Feminist Activism and the Supreme Court</w:t>
      </w:r>
      <w:r>
        <w:rPr>
          <w:rFonts w:ascii="Times New Roman" w:hAnsi="Times New Roman"/>
          <w:sz w:val="22"/>
        </w:rPr>
        <w:t xml:space="preserve"> (Vancouver UBC Press, 2004)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D. McInnes, </w:t>
      </w:r>
      <w:r>
        <w:rPr>
          <w:rFonts w:ascii="Times New Roman" w:hAnsi="Times New Roman"/>
          <w:i/>
          <w:sz w:val="22"/>
        </w:rPr>
        <w:t>Taking it to the Hill: The Complete Guide to Appearing Before (And Surviving) Parliamentary Committees</w:t>
      </w:r>
      <w:r>
        <w:rPr>
          <w:rFonts w:ascii="Times New Roman" w:hAnsi="Times New Roman"/>
          <w:sz w:val="22"/>
        </w:rPr>
        <w:t xml:space="preserve"> (Ottawa, 1999)</w:t>
      </w:r>
    </w:p>
    <w:p w:rsidR="005072E6" w:rsidRDefault="005072E6" w:rsidP="005072E6">
      <w:pPr>
        <w:spacing w:after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L. Pal, </w:t>
      </w:r>
      <w:r>
        <w:rPr>
          <w:rFonts w:ascii="Times New Roman" w:hAnsi="Times New Roman"/>
          <w:i/>
          <w:sz w:val="22"/>
        </w:rPr>
        <w:t>Interests of State: The Politics of Language, Multiculturalism, and Feminism in Canada</w:t>
      </w:r>
      <w:r>
        <w:rPr>
          <w:rFonts w:ascii="Times New Roman" w:hAnsi="Times New Roman"/>
          <w:sz w:val="22"/>
        </w:rPr>
        <w:t xml:space="preserve"> (MQUP, 1993)</w:t>
      </w:r>
    </w:p>
    <w:p w:rsidR="0081648C" w:rsidRDefault="005072E6"/>
    <w:sectPr w:rsidR="0081648C" w:rsidSect="003B0E1A">
      <w:type w:val="continuous"/>
      <w:pgSz w:w="12240" w:h="15840"/>
      <w:pgMar w:top="1304" w:right="1418" w:bottom="130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72E6"/>
    <w:rsid w:val="005072E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2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4447</Characters>
  <Application>Microsoft Macintosh Word</Application>
  <DocSecurity>0</DocSecurity>
  <Lines>37</Lines>
  <Paragraphs>8</Paragraphs>
  <ScaleCrop>false</ScaleCrop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Davidson</dc:creator>
  <cp:keywords/>
  <cp:lastModifiedBy>Adrienne Davidson</cp:lastModifiedBy>
  <cp:revision>1</cp:revision>
  <dcterms:created xsi:type="dcterms:W3CDTF">2012-05-08T20:03:00Z</dcterms:created>
  <dcterms:modified xsi:type="dcterms:W3CDTF">2012-05-08T20:04:00Z</dcterms:modified>
</cp:coreProperties>
</file>